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764.999999999999" w:tblpY="4.1015625"/>
        <w:tblW w:w="10539.0" w:type="dxa"/>
        <w:jc w:val="left"/>
        <w:tblInd w:w="-77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555"/>
        <w:gridCol w:w="7650"/>
        <w:gridCol w:w="2334.0000000000005"/>
        <w:tblGridChange w:id="0">
          <w:tblGrid>
            <w:gridCol w:w="555"/>
            <w:gridCol w:w="7650"/>
            <w:gridCol w:w="2334.0000000000005"/>
          </w:tblGrid>
        </w:tblGridChange>
      </w:tblGrid>
      <w:tr>
        <w:trPr>
          <w:cantSplit w:val="0"/>
          <w:trHeight w:val="2730" w:hRule="atLeast"/>
          <w:tblHeader w:val="0"/>
        </w:trPr>
        <w:tc>
          <w:tcPr>
            <w:shd w:fill="ffffff" w:val="clear"/>
          </w:tcPr>
          <w:p w:rsidR="00000000" w:rsidDel="00000000" w:rsidP="00000000" w:rsidRDefault="00000000" w:rsidRPr="00000000" w14:paraId="00000002">
            <w:pPr>
              <w:jc w:val="center"/>
              <w:rPr>
                <w:b w:val="1"/>
              </w:rPr>
            </w:pPr>
            <w:r w:rsidDel="00000000" w:rsidR="00000000" w:rsidRPr="00000000">
              <w:rPr>
                <w:b w:val="1"/>
                <w:rtl w:val="0"/>
              </w:rPr>
              <w:t xml:space="preserve">A</w:t>
            </w:r>
          </w:p>
        </w:tc>
        <w:tc>
          <w:tcPr>
            <w:shd w:fill="ffffff" w:val="clear"/>
          </w:tcPr>
          <w:p w:rsidR="00000000" w:rsidDel="00000000" w:rsidP="00000000" w:rsidRDefault="00000000" w:rsidRPr="00000000" w14:paraId="00000003">
            <w:pPr>
              <w:widowControl w:val="0"/>
              <w:rPr>
                <w:b w:val="1"/>
                <w:color w:val="010000"/>
                <w:u w:val="single"/>
              </w:rPr>
            </w:pPr>
            <w:r w:rsidDel="00000000" w:rsidR="00000000" w:rsidRPr="00000000">
              <w:rPr>
                <w:color w:val="010000"/>
                <w:rtl w:val="0"/>
              </w:rPr>
              <w:t xml:space="preserve"> </w:t>
            </w:r>
            <w:r w:rsidDel="00000000" w:rsidR="00000000" w:rsidRPr="00000000">
              <w:rPr>
                <w:b w:val="1"/>
                <w:color w:val="010000"/>
                <w:u w:val="single"/>
                <w:rtl w:val="0"/>
              </w:rPr>
              <w:t xml:space="preserve">Synopsis</w:t>
            </w:r>
          </w:p>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numPr>
                <w:ilvl w:val="0"/>
                <w:numId w:val="4"/>
              </w:numPr>
              <w:ind w:left="360"/>
              <w:jc w:val="both"/>
              <w:rPr>
                <w:rFonts w:ascii="Calibri" w:cs="Calibri" w:eastAsia="Calibri" w:hAnsi="Calibri"/>
              </w:rPr>
            </w:pPr>
            <w:bookmarkStart w:colFirst="0" w:colLast="0" w:name="_gjdgxs" w:id="0"/>
            <w:bookmarkEnd w:id="0"/>
            <w:r w:rsidDel="00000000" w:rsidR="00000000" w:rsidRPr="00000000">
              <w:rPr>
                <w:rtl w:val="0"/>
              </w:rPr>
              <w:t xml:space="preserve">The target of God’s judgement turns from Judah and Jerusalem (chp 4-7) to the Temple. Chapters 8-11 focus on God’s judgement upon the temple in Jerusalem, climaxing in the departure of the Lord’s glorious presence. </w:t>
            </w:r>
          </w:p>
          <w:p w:rsidR="00000000" w:rsidDel="00000000" w:rsidP="00000000" w:rsidRDefault="00000000" w:rsidRPr="00000000" w14:paraId="00000006">
            <w:pPr>
              <w:widowControl w:val="0"/>
              <w:jc w:val="both"/>
              <w:rPr/>
            </w:pPr>
            <w:bookmarkStart w:colFirst="0" w:colLast="0" w:name="_9nwxpen993xk" w:id="1"/>
            <w:bookmarkEnd w:id="1"/>
            <w:r w:rsidDel="00000000" w:rsidR="00000000" w:rsidRPr="00000000">
              <w:rPr>
                <w:rtl w:val="0"/>
              </w:rPr>
            </w:r>
          </w:p>
          <w:p w:rsidR="00000000" w:rsidDel="00000000" w:rsidP="00000000" w:rsidRDefault="00000000" w:rsidRPr="00000000" w14:paraId="00000007">
            <w:pPr>
              <w:widowControl w:val="0"/>
              <w:numPr>
                <w:ilvl w:val="0"/>
                <w:numId w:val="4"/>
              </w:numPr>
              <w:ind w:left="360"/>
              <w:jc w:val="both"/>
              <w:rPr>
                <w:u w:val="none"/>
              </w:rPr>
            </w:pPr>
            <w:bookmarkStart w:colFirst="0" w:colLast="0" w:name="_709ysiy8n6at" w:id="2"/>
            <w:bookmarkEnd w:id="2"/>
            <w:r w:rsidDel="00000000" w:rsidR="00000000" w:rsidRPr="00000000">
              <w:rPr>
                <w:rtl w:val="0"/>
              </w:rPr>
              <w:t xml:space="preserve">Beginning from chapter 8, Ezekiel (a) is seated among the exiles; (b) is transported by the Spirit to Jerusalem; ( c ) sees the appearance of divine glory .  At the end of chapter 11, these same events are reversed: (a’) he is in Jerusalem, (c’) beholds the departure of divine glory, (b’) “... and the Spirit lifted [him] up and brought [him] … into Chaldean, to the exiles”.  These two contrasting scenarios are the bookends of the opening and closing of this section that show its thematic unity.  Within these bookends, Ezekiel gives voice to a series of prophetic oracles that express God’s severe judgement upon the temple and the Holy City. </w:t>
            </w:r>
          </w:p>
          <w:p w:rsidR="00000000" w:rsidDel="00000000" w:rsidP="00000000" w:rsidRDefault="00000000" w:rsidRPr="00000000" w14:paraId="00000008">
            <w:pPr>
              <w:widowControl w:val="0"/>
              <w:jc w:val="both"/>
              <w:rPr/>
            </w:pPr>
            <w:bookmarkStart w:colFirst="0" w:colLast="0" w:name="_lyl5us4xm1j9" w:id="3"/>
            <w:bookmarkEnd w:id="3"/>
            <w:r w:rsidDel="00000000" w:rsidR="00000000" w:rsidRPr="00000000">
              <w:rPr>
                <w:rtl w:val="0"/>
              </w:rPr>
            </w:r>
          </w:p>
          <w:p w:rsidR="00000000" w:rsidDel="00000000" w:rsidP="00000000" w:rsidRDefault="00000000" w:rsidRPr="00000000" w14:paraId="00000009">
            <w:pPr>
              <w:widowControl w:val="0"/>
              <w:numPr>
                <w:ilvl w:val="0"/>
                <w:numId w:val="4"/>
              </w:numPr>
              <w:ind w:left="360"/>
              <w:jc w:val="both"/>
              <w:rPr>
                <w:u w:val="none"/>
              </w:rPr>
            </w:pPr>
            <w:bookmarkStart w:colFirst="0" w:colLast="0" w:name="_6gy56ccyfzl7" w:id="4"/>
            <w:bookmarkEnd w:id="4"/>
            <w:r w:rsidDel="00000000" w:rsidR="00000000" w:rsidRPr="00000000">
              <w:rPr>
                <w:rtl w:val="0"/>
              </w:rPr>
              <w:t xml:space="preserve">“The glory of God” is the unifying theme throughout the entire Bible.  Its appearance and departure has consequential significance. </w:t>
            </w:r>
          </w:p>
        </w:tc>
        <w:tc>
          <w:tcPr>
            <w:shd w:fill="ffffff" w:val="clear"/>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CCSS p 76</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CCSS p 76</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E">
            <w:pPr>
              <w:jc w:val="center"/>
              <w:rPr>
                <w:b w:val="1"/>
              </w:rPr>
            </w:pPr>
            <w:r w:rsidDel="00000000" w:rsidR="00000000" w:rsidRPr="00000000">
              <w:rPr>
                <w:b w:val="1"/>
                <w:rtl w:val="0"/>
              </w:rPr>
              <w:t xml:space="preserve">B</w:t>
            </w:r>
          </w:p>
        </w:tc>
        <w:tc>
          <w:tcPr>
            <w:shd w:fill="ffffff" w:val="clear"/>
          </w:tcPr>
          <w:p w:rsidR="00000000" w:rsidDel="00000000" w:rsidP="00000000" w:rsidRDefault="00000000" w:rsidRPr="00000000" w14:paraId="0000001F">
            <w:pPr>
              <w:rPr>
                <w:b w:val="1"/>
                <w:u w:val="single"/>
              </w:rPr>
            </w:pPr>
            <w:r w:rsidDel="00000000" w:rsidR="00000000" w:rsidRPr="00000000">
              <w:rPr>
                <w:b w:val="1"/>
                <w:u w:val="single"/>
                <w:rtl w:val="0"/>
              </w:rPr>
              <w:t xml:space="preserve">The Vision of the Abominations in the Temple</w:t>
            </w:r>
          </w:p>
          <w:p w:rsidR="00000000" w:rsidDel="00000000" w:rsidP="00000000" w:rsidRDefault="00000000" w:rsidRPr="00000000" w14:paraId="00000020">
            <w:pPr>
              <w:widowControl w:val="0"/>
              <w:ind w:left="72" w:firstLine="0"/>
              <w:jc w:val="both"/>
              <w:rPr/>
            </w:pPr>
            <w:r w:rsidDel="00000000" w:rsidR="00000000" w:rsidRPr="00000000">
              <w:rPr>
                <w:rtl w:val="0"/>
              </w:rPr>
            </w:r>
          </w:p>
          <w:p w:rsidR="00000000" w:rsidDel="00000000" w:rsidP="00000000" w:rsidRDefault="00000000" w:rsidRPr="00000000" w14:paraId="00000021">
            <w:pPr>
              <w:widowControl w:val="0"/>
              <w:numPr>
                <w:ilvl w:val="0"/>
                <w:numId w:val="3"/>
              </w:numPr>
              <w:shd w:fill="ffffff" w:val="clear"/>
              <w:ind w:left="432" w:hanging="360"/>
              <w:jc w:val="both"/>
              <w:rPr>
                <w:rFonts w:ascii="Calibri" w:cs="Calibri" w:eastAsia="Calibri" w:hAnsi="Calibri"/>
                <w:color w:val="010000"/>
              </w:rPr>
            </w:pPr>
            <w:r w:rsidDel="00000000" w:rsidR="00000000" w:rsidRPr="00000000">
              <w:rPr>
                <w:color w:val="010000"/>
                <w:rtl w:val="0"/>
              </w:rPr>
              <w:t xml:space="preserve">“... a form that had the appearance of a man … took me by a lock of my head; and … brought me … to Jerusalem … the glory of the God of Israel was there, like the vision that I saw in the plain.” - This encounter of God is the same as the first vision.  The house of Israel has erected in the heart of the Temple an  idol to a foreign god, an “image of jealousy, which </w:t>
            </w:r>
            <w:r w:rsidDel="00000000" w:rsidR="00000000" w:rsidRPr="00000000">
              <w:rPr>
                <w:color w:val="010000"/>
                <w:rtl w:val="0"/>
              </w:rPr>
              <w:t xml:space="preserve">provokes to jealousy</w:t>
            </w:r>
            <w:r w:rsidDel="00000000" w:rsidR="00000000" w:rsidRPr="00000000">
              <w:rPr>
                <w:color w:val="010000"/>
                <w:rtl w:val="0"/>
              </w:rPr>
              <w:t xml:space="preserve">”.  Evidently, the idol and the glory of God cannot be mutually present, “ to drive me far from my sanctuary”.</w:t>
            </w:r>
          </w:p>
          <w:p w:rsidR="00000000" w:rsidDel="00000000" w:rsidP="00000000" w:rsidRDefault="00000000" w:rsidRPr="00000000" w14:paraId="00000022">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23">
            <w:pPr>
              <w:widowControl w:val="0"/>
              <w:numPr>
                <w:ilvl w:val="0"/>
                <w:numId w:val="3"/>
              </w:numPr>
              <w:shd w:fill="ffffff" w:val="clear"/>
              <w:ind w:left="432" w:hanging="360"/>
              <w:jc w:val="both"/>
              <w:rPr>
                <w:color w:val="010000"/>
              </w:rPr>
            </w:pPr>
            <w:r w:rsidDel="00000000" w:rsidR="00000000" w:rsidRPr="00000000">
              <w:rPr>
                <w:color w:val="010000"/>
                <w:rtl w:val="0"/>
              </w:rPr>
              <w:t xml:space="preserve">In Ezekiel’s vision, he sees seventy men of the elders of the house of Israel worshipping idols, women weeping for Tammuz, 25 men in the inner court (could be priests) with their backs to the temple of the Lord, and their faces toward the east.  This brazen act of idolatry provokes the Lord to righteous anger; He will no longer have pity on the people.</w:t>
            </w:r>
          </w:p>
        </w:tc>
        <w:tc>
          <w:tcPr>
            <w:shd w:fill="ffffff" w:val="clear"/>
          </w:tcPr>
          <w:p w:rsidR="00000000" w:rsidDel="00000000" w:rsidP="00000000" w:rsidRDefault="00000000" w:rsidRPr="00000000" w14:paraId="00000024">
            <w:pPr>
              <w:rPr/>
            </w:pPr>
            <w:r w:rsidDel="00000000" w:rsidR="00000000" w:rsidRPr="00000000">
              <w:rPr>
                <w:rtl w:val="0"/>
              </w:rPr>
              <w:t xml:space="preserve">8:1-8</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8:1-6 CCSS, 1:26-27</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8:7-18 CCSS, </w:t>
            </w:r>
          </w:p>
          <w:p w:rsidR="00000000" w:rsidDel="00000000" w:rsidP="00000000" w:rsidRDefault="00000000" w:rsidRPr="00000000" w14:paraId="0000002F">
            <w:pPr>
              <w:rPr/>
            </w:pPr>
            <w:r w:rsidDel="00000000" w:rsidR="00000000" w:rsidRPr="00000000">
              <w:rPr>
                <w:rtl w:val="0"/>
              </w:rPr>
              <w:t xml:space="preserve">Ex 24:9-11, Dt 17:2-3</w:t>
            </w:r>
            <w:r w:rsidDel="00000000" w:rsidR="00000000" w:rsidRPr="00000000">
              <w:rPr>
                <w:rtl w:val="0"/>
              </w:rPr>
            </w:r>
          </w:p>
        </w:tc>
      </w:tr>
      <w:tr>
        <w:trPr>
          <w:cantSplit w:val="0"/>
          <w:trHeight w:val="2739.7500000000014" w:hRule="atLeast"/>
          <w:tblHeader w:val="0"/>
        </w:trPr>
        <w:tc>
          <w:tcPr>
            <w:shd w:fill="auto" w:val="clear"/>
          </w:tcPr>
          <w:p w:rsidR="00000000" w:rsidDel="00000000" w:rsidP="00000000" w:rsidRDefault="00000000" w:rsidRPr="00000000" w14:paraId="00000030">
            <w:pPr>
              <w:jc w:val="center"/>
              <w:rPr>
                <w:b w:val="1"/>
              </w:rPr>
            </w:pPr>
            <w:r w:rsidDel="00000000" w:rsidR="00000000" w:rsidRPr="00000000">
              <w:rPr>
                <w:b w:val="1"/>
                <w:rtl w:val="0"/>
              </w:rPr>
              <w:t xml:space="preserve">C</w:t>
            </w:r>
          </w:p>
        </w:tc>
        <w:tc>
          <w:tcPr>
            <w:shd w:fill="auto" w:val="clear"/>
          </w:tcPr>
          <w:p w:rsidR="00000000" w:rsidDel="00000000" w:rsidP="00000000" w:rsidRDefault="00000000" w:rsidRPr="00000000" w14:paraId="00000031">
            <w:pPr>
              <w:widowControl w:val="0"/>
              <w:jc w:val="both"/>
              <w:rPr>
                <w:b w:val="1"/>
                <w:u w:val="single"/>
              </w:rPr>
            </w:pPr>
            <w:r w:rsidDel="00000000" w:rsidR="00000000" w:rsidRPr="00000000">
              <w:rPr>
                <w:b w:val="1"/>
                <w:u w:val="single"/>
                <w:rtl w:val="0"/>
              </w:rPr>
              <w:t xml:space="preserve">God’s Ruthless Judgement of the Holy City</w:t>
            </w:r>
          </w:p>
          <w:p w:rsidR="00000000" w:rsidDel="00000000" w:rsidP="00000000" w:rsidRDefault="00000000" w:rsidRPr="00000000" w14:paraId="00000032">
            <w:pPr>
              <w:widowControl w:val="0"/>
              <w:jc w:val="both"/>
              <w:rPr/>
            </w:pPr>
            <w:r w:rsidDel="00000000" w:rsidR="00000000" w:rsidRPr="00000000">
              <w:rPr>
                <w:rtl w:val="0"/>
              </w:rPr>
            </w:r>
          </w:p>
          <w:p w:rsidR="00000000" w:rsidDel="00000000" w:rsidP="00000000" w:rsidRDefault="00000000" w:rsidRPr="00000000" w14:paraId="00000033">
            <w:pPr>
              <w:widowControl w:val="0"/>
              <w:numPr>
                <w:ilvl w:val="0"/>
                <w:numId w:val="5"/>
              </w:numPr>
              <w:ind w:left="360"/>
              <w:jc w:val="both"/>
              <w:rPr>
                <w:rFonts w:ascii="Calibri" w:cs="Calibri" w:eastAsia="Calibri" w:hAnsi="Calibri"/>
              </w:rPr>
            </w:pPr>
            <w:r w:rsidDel="00000000" w:rsidR="00000000" w:rsidRPr="00000000">
              <w:rPr>
                <w:rtl w:val="0"/>
              </w:rPr>
              <w:t xml:space="preserve">Leading into the punishment, “Now the glory of the God of Israel had gone up from the Cherubim on which it rested to the threshold of the house” - The presence of God is on the move, departing from the Holy City.</w:t>
            </w:r>
          </w:p>
          <w:p w:rsidR="00000000" w:rsidDel="00000000" w:rsidP="00000000" w:rsidRDefault="00000000" w:rsidRPr="00000000" w14:paraId="00000034">
            <w:pPr>
              <w:widowControl w:val="0"/>
              <w:jc w:val="both"/>
              <w:rPr/>
            </w:pPr>
            <w:r w:rsidDel="00000000" w:rsidR="00000000" w:rsidRPr="00000000">
              <w:rPr>
                <w:rtl w:val="0"/>
              </w:rPr>
            </w:r>
          </w:p>
          <w:p w:rsidR="00000000" w:rsidDel="00000000" w:rsidP="00000000" w:rsidRDefault="00000000" w:rsidRPr="00000000" w14:paraId="00000035">
            <w:pPr>
              <w:widowControl w:val="0"/>
              <w:numPr>
                <w:ilvl w:val="0"/>
                <w:numId w:val="5"/>
              </w:numPr>
              <w:ind w:left="360"/>
              <w:jc w:val="both"/>
              <w:rPr>
                <w:u w:val="none"/>
              </w:rPr>
            </w:pPr>
            <w:r w:rsidDel="00000000" w:rsidR="00000000" w:rsidRPr="00000000">
              <w:rPr>
                <w:rtl w:val="0"/>
              </w:rPr>
              <w:t xml:space="preserve">Note the manner of punishment: a mark is put upon “the foreheads of the men who sigh and groan over all the abominations that are committed in it”.  (</w:t>
            </w:r>
            <w:r w:rsidDel="00000000" w:rsidR="00000000" w:rsidRPr="00000000">
              <w:rPr>
                <w:i w:val="1"/>
                <w:rtl w:val="0"/>
              </w:rPr>
              <w:t xml:space="preserve">taw </w:t>
            </w:r>
            <w:r w:rsidDel="00000000" w:rsidR="00000000" w:rsidRPr="00000000">
              <w:rPr>
                <w:rtl w:val="0"/>
              </w:rPr>
              <w:t xml:space="preserve">[HB] - “X”)</w:t>
            </w:r>
          </w:p>
          <w:p w:rsidR="00000000" w:rsidDel="00000000" w:rsidP="00000000" w:rsidRDefault="00000000" w:rsidRPr="00000000" w14:paraId="00000036">
            <w:pPr>
              <w:widowControl w:val="0"/>
              <w:jc w:val="both"/>
              <w:rPr/>
            </w:pPr>
            <w:r w:rsidDel="00000000" w:rsidR="00000000" w:rsidRPr="00000000">
              <w:rPr>
                <w:rtl w:val="0"/>
              </w:rPr>
            </w:r>
          </w:p>
          <w:p w:rsidR="00000000" w:rsidDel="00000000" w:rsidP="00000000" w:rsidRDefault="00000000" w:rsidRPr="00000000" w14:paraId="00000037">
            <w:pPr>
              <w:widowControl w:val="0"/>
              <w:numPr>
                <w:ilvl w:val="0"/>
                <w:numId w:val="5"/>
              </w:numPr>
              <w:ind w:left="360"/>
              <w:jc w:val="both"/>
              <w:rPr>
                <w:u w:val="none"/>
              </w:rPr>
            </w:pPr>
            <w:r w:rsidDel="00000000" w:rsidR="00000000" w:rsidRPr="00000000">
              <w:rPr>
                <w:rtl w:val="0"/>
              </w:rPr>
              <w:t xml:space="preserve">Why does God demand humans to forgive each other but allow himself to punish them without mercy?  Indeed, punishments must not be conceived of as a kind of vengeance inflicted by God from without, but as following from the very nature of sin.</w:t>
            </w:r>
          </w:p>
        </w:tc>
        <w:tc>
          <w:tcPr>
            <w:shd w:fill="auto" w:val="clear"/>
          </w:tcPr>
          <w:p w:rsidR="00000000" w:rsidDel="00000000" w:rsidP="00000000" w:rsidRDefault="00000000" w:rsidRPr="00000000" w14:paraId="00000038">
            <w:pPr>
              <w:rPr/>
            </w:pPr>
            <w:r w:rsidDel="00000000" w:rsidR="00000000" w:rsidRPr="00000000">
              <w:rPr>
                <w:rtl w:val="0"/>
              </w:rPr>
              <w:t xml:space="preserve">9:1-11</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9:3 CCSS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9:4-11, Ex 12:7-13</w:t>
            </w:r>
          </w:p>
          <w:p w:rsidR="00000000" w:rsidDel="00000000" w:rsidP="00000000" w:rsidRDefault="00000000" w:rsidRPr="00000000" w14:paraId="00000040">
            <w:pPr>
              <w:rPr/>
            </w:pPr>
            <w:r w:rsidDel="00000000" w:rsidR="00000000" w:rsidRPr="00000000">
              <w:rPr>
                <w:rtl w:val="0"/>
              </w:rPr>
              <w:t xml:space="preserve">Rev 7:3, 14:1</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SN 1 CCC 1472</w:t>
            </w:r>
          </w:p>
          <w:p w:rsidR="00000000" w:rsidDel="00000000" w:rsidP="00000000" w:rsidRDefault="00000000" w:rsidRPr="00000000" w14:paraId="00000044">
            <w:pPr>
              <w:rPr/>
            </w:pPr>
            <w:r w:rsidDel="00000000" w:rsidR="00000000" w:rsidRPr="00000000">
              <w:rPr>
                <w:rtl w:val="0"/>
              </w:rPr>
              <w:t xml:space="preserve">SN2</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tc>
      </w:tr>
      <w:tr>
        <w:trPr>
          <w:cantSplit w:val="0"/>
          <w:trHeight w:val="1935" w:hRule="atLeast"/>
          <w:tblHeader w:val="0"/>
        </w:trPr>
        <w:tc>
          <w:tcPr>
            <w:shd w:fill="auto" w:val="clear"/>
          </w:tcPr>
          <w:p w:rsidR="00000000" w:rsidDel="00000000" w:rsidP="00000000" w:rsidRDefault="00000000" w:rsidRPr="00000000" w14:paraId="00000048">
            <w:pPr>
              <w:jc w:val="center"/>
              <w:rPr>
                <w:b w:val="1"/>
              </w:rPr>
            </w:pPr>
            <w:r w:rsidDel="00000000" w:rsidR="00000000" w:rsidRPr="00000000">
              <w:rPr>
                <w:b w:val="1"/>
                <w:rtl w:val="0"/>
              </w:rPr>
              <w:t xml:space="preserve">D</w:t>
            </w:r>
          </w:p>
        </w:tc>
        <w:tc>
          <w:tcPr>
            <w:shd w:fill="auto" w:val="clear"/>
          </w:tcPr>
          <w:p w:rsidR="00000000" w:rsidDel="00000000" w:rsidP="00000000" w:rsidRDefault="00000000" w:rsidRPr="00000000" w14:paraId="00000049">
            <w:pPr>
              <w:widowControl w:val="0"/>
              <w:jc w:val="both"/>
              <w:rPr>
                <w:b w:val="1"/>
                <w:u w:val="single"/>
              </w:rPr>
            </w:pPr>
            <w:r w:rsidDel="00000000" w:rsidR="00000000" w:rsidRPr="00000000">
              <w:rPr>
                <w:b w:val="1"/>
                <w:u w:val="single"/>
                <w:rtl w:val="0"/>
              </w:rPr>
              <w:t xml:space="preserve">The Burning of the City and the Departure of God’s Glorious Presence</w:t>
            </w:r>
          </w:p>
          <w:p w:rsidR="00000000" w:rsidDel="00000000" w:rsidP="00000000" w:rsidRDefault="00000000" w:rsidRPr="00000000" w14:paraId="0000004A">
            <w:pPr>
              <w:widowControl w:val="0"/>
              <w:ind w:left="72" w:firstLine="0"/>
              <w:jc w:val="both"/>
              <w:rPr/>
            </w:pPr>
            <w:r w:rsidDel="00000000" w:rsidR="00000000" w:rsidRPr="00000000">
              <w:rPr>
                <w:rtl w:val="0"/>
              </w:rPr>
            </w:r>
          </w:p>
          <w:p w:rsidR="00000000" w:rsidDel="00000000" w:rsidP="00000000" w:rsidRDefault="00000000" w:rsidRPr="00000000" w14:paraId="0000004B">
            <w:pPr>
              <w:widowControl w:val="0"/>
              <w:numPr>
                <w:ilvl w:val="0"/>
                <w:numId w:val="3"/>
              </w:numPr>
              <w:shd w:fill="ffffff" w:val="clear"/>
              <w:ind w:left="432" w:hanging="360"/>
              <w:jc w:val="both"/>
              <w:rPr>
                <w:rFonts w:ascii="Calibri" w:cs="Calibri" w:eastAsia="Calibri" w:hAnsi="Calibri"/>
                <w:color w:val="010000"/>
              </w:rPr>
            </w:pPr>
            <w:r w:rsidDel="00000000" w:rsidR="00000000" w:rsidRPr="00000000">
              <w:rPr>
                <w:color w:val="010000"/>
                <w:rtl w:val="0"/>
              </w:rPr>
              <w:t xml:space="preserve">“Go in among the whirling wheels underneath the cherubim; fill your hands with burning coals from between the cherubim, and scatter them over the city” - fire is a commonly used symbol of God; a tangible representation of the intangible characteristics of God.  God’s judgement resembles fire, both punishing and cleansing; burning up whatever is incompatible with God, but only to prepare a purified receptacle capable of receiving his presence.</w:t>
            </w:r>
          </w:p>
          <w:p w:rsidR="00000000" w:rsidDel="00000000" w:rsidP="00000000" w:rsidRDefault="00000000" w:rsidRPr="00000000" w14:paraId="0000004C">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4D">
            <w:pPr>
              <w:widowControl w:val="0"/>
              <w:numPr>
                <w:ilvl w:val="0"/>
                <w:numId w:val="3"/>
              </w:numPr>
              <w:shd w:fill="ffffff" w:val="clear"/>
              <w:ind w:left="432" w:hanging="360"/>
              <w:jc w:val="both"/>
              <w:rPr>
                <w:color w:val="010000"/>
              </w:rPr>
            </w:pPr>
            <w:r w:rsidDel="00000000" w:rsidR="00000000" w:rsidRPr="00000000">
              <w:rPr>
                <w:color w:val="010000"/>
                <w:rtl w:val="0"/>
              </w:rPr>
              <w:t xml:space="preserve">The city of sins being consumed by fire is a biblical prefiguration: Sodom and Gomorrah, Jerusalem, and Babylon announce God’s judgement of the world on the last day.</w:t>
            </w:r>
          </w:p>
          <w:p w:rsidR="00000000" w:rsidDel="00000000" w:rsidP="00000000" w:rsidRDefault="00000000" w:rsidRPr="00000000" w14:paraId="0000004E">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4F">
            <w:pPr>
              <w:widowControl w:val="0"/>
              <w:numPr>
                <w:ilvl w:val="0"/>
                <w:numId w:val="3"/>
              </w:numPr>
              <w:shd w:fill="ffffff" w:val="clear"/>
              <w:ind w:left="432" w:hanging="360"/>
              <w:jc w:val="both"/>
              <w:rPr>
                <w:color w:val="010000"/>
                <w:u w:val="none"/>
              </w:rPr>
            </w:pPr>
            <w:r w:rsidDel="00000000" w:rsidR="00000000" w:rsidRPr="00000000">
              <w:rPr>
                <w:color w:val="010000"/>
                <w:rtl w:val="0"/>
              </w:rPr>
              <w:t xml:space="preserve">Ezekiel reiterates the vision he saw in 1:15-21: the four creatures and four wheels.  The glory of the Lord “stood over the cherubim” (v 18), recalling “when Moses went into the tent of meeting to speak with the Lord, he would hear the voice speaking to him from above the mercy-seat that was on the ark of the covenant from between the two cherubim”.  </w:t>
            </w:r>
          </w:p>
          <w:p w:rsidR="00000000" w:rsidDel="00000000" w:rsidP="00000000" w:rsidRDefault="00000000" w:rsidRPr="00000000" w14:paraId="00000050">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51">
            <w:pPr>
              <w:widowControl w:val="0"/>
              <w:numPr>
                <w:ilvl w:val="0"/>
                <w:numId w:val="3"/>
              </w:numPr>
              <w:shd w:fill="ffffff" w:val="clear"/>
              <w:ind w:left="432" w:hanging="360"/>
              <w:jc w:val="both"/>
              <w:rPr>
                <w:color w:val="010000"/>
                <w:u w:val="none"/>
              </w:rPr>
            </w:pPr>
            <w:r w:rsidDel="00000000" w:rsidR="00000000" w:rsidRPr="00000000">
              <w:rPr>
                <w:color w:val="010000"/>
                <w:rtl w:val="0"/>
              </w:rPr>
              <w:t xml:space="preserve">“Then the glory of the Lord went forth from the threshold of the house” - the scorching of the Temple and the departure of the glory of God serve to prepare for the New Temple.  Heading towards the east where Babylon lies, to be present to the forlorn exiles.</w:t>
            </w:r>
          </w:p>
        </w:tc>
        <w:tc>
          <w:tcPr>
            <w:shd w:fill="auto" w:val="clear"/>
          </w:tcPr>
          <w:p w:rsidR="00000000" w:rsidDel="00000000" w:rsidP="00000000" w:rsidRDefault="00000000" w:rsidRPr="00000000" w14:paraId="00000052">
            <w:pPr>
              <w:rPr/>
            </w:pPr>
            <w:r w:rsidDel="00000000" w:rsidR="00000000" w:rsidRPr="00000000">
              <w:rPr>
                <w:rtl w:val="0"/>
              </w:rPr>
              <w:t xml:space="preserve">10:1:22</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10:1-2 CCSS, Ex 3:2,</w:t>
            </w:r>
          </w:p>
          <w:p w:rsidR="00000000" w:rsidDel="00000000" w:rsidP="00000000" w:rsidRDefault="00000000" w:rsidRPr="00000000" w14:paraId="00000055">
            <w:pPr>
              <w:rPr/>
            </w:pPr>
            <w:r w:rsidDel="00000000" w:rsidR="00000000" w:rsidRPr="00000000">
              <w:rPr>
                <w:rtl w:val="0"/>
              </w:rPr>
              <w:t xml:space="preserve">Ps 50:3, 1Cor 3:13</w:t>
            </w:r>
          </w:p>
          <w:p w:rsidR="00000000" w:rsidDel="00000000" w:rsidP="00000000" w:rsidRDefault="00000000" w:rsidRPr="00000000" w14:paraId="00000056">
            <w:pPr>
              <w:rPr/>
            </w:pPr>
            <w:r w:rsidDel="00000000" w:rsidR="00000000" w:rsidRPr="00000000">
              <w:rPr>
                <w:rtl w:val="0"/>
              </w:rPr>
              <w:t xml:space="preserve">SN 3</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Fonts w:ascii="Gungsuh" w:cs="Gungsuh" w:eastAsia="Gungsuh" w:hAnsi="Gungsuh"/>
                <w:rtl w:val="0"/>
              </w:rPr>
              <w:t xml:space="preserve">Gen 19:24-25, Rev 18:8，Mt 24:1-20</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10:9-17 CCSS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Nb 7:89</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10:18-19 CCSS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tc>
      </w:tr>
      <w:tr>
        <w:trPr>
          <w:cantSplit w:val="0"/>
          <w:trHeight w:val="1935" w:hRule="atLeast"/>
          <w:tblHeader w:val="0"/>
        </w:trPr>
        <w:tc>
          <w:tcPr>
            <w:shd w:fill="auto" w:val="clear"/>
          </w:tcPr>
          <w:p w:rsidR="00000000" w:rsidDel="00000000" w:rsidP="00000000" w:rsidRDefault="00000000" w:rsidRPr="00000000" w14:paraId="0000006A">
            <w:pPr>
              <w:jc w:val="center"/>
              <w:rPr>
                <w:b w:val="1"/>
              </w:rPr>
            </w:pPr>
            <w:r w:rsidDel="00000000" w:rsidR="00000000" w:rsidRPr="00000000">
              <w:rPr>
                <w:b w:val="1"/>
                <w:rtl w:val="0"/>
              </w:rPr>
              <w:t xml:space="preserve">E</w:t>
            </w:r>
          </w:p>
        </w:tc>
        <w:tc>
          <w:tcPr>
            <w:shd w:fill="auto" w:val="clear"/>
          </w:tcPr>
          <w:p w:rsidR="00000000" w:rsidDel="00000000" w:rsidP="00000000" w:rsidRDefault="00000000" w:rsidRPr="00000000" w14:paraId="0000006B">
            <w:pPr>
              <w:widowControl w:val="0"/>
              <w:jc w:val="both"/>
              <w:rPr>
                <w:b w:val="1"/>
                <w:u w:val="single"/>
              </w:rPr>
            </w:pPr>
            <w:r w:rsidDel="00000000" w:rsidR="00000000" w:rsidRPr="00000000">
              <w:rPr>
                <w:b w:val="1"/>
                <w:u w:val="single"/>
                <w:rtl w:val="0"/>
              </w:rPr>
              <w:t xml:space="preserve">Judgement Upon the Holy City, Promise of Return and Final Departure of God’s Glory</w:t>
            </w:r>
          </w:p>
          <w:p w:rsidR="00000000" w:rsidDel="00000000" w:rsidP="00000000" w:rsidRDefault="00000000" w:rsidRPr="00000000" w14:paraId="0000006C">
            <w:pPr>
              <w:widowControl w:val="0"/>
              <w:jc w:val="both"/>
              <w:rPr>
                <w:b w:val="1"/>
                <w:u w:val="single"/>
              </w:rPr>
            </w:pPr>
            <w:r w:rsidDel="00000000" w:rsidR="00000000" w:rsidRPr="00000000">
              <w:rPr>
                <w:rtl w:val="0"/>
              </w:rPr>
            </w:r>
          </w:p>
          <w:p w:rsidR="00000000" w:rsidDel="00000000" w:rsidP="00000000" w:rsidRDefault="00000000" w:rsidRPr="00000000" w14:paraId="0000006D">
            <w:pPr>
              <w:widowControl w:val="0"/>
              <w:numPr>
                <w:ilvl w:val="0"/>
                <w:numId w:val="5"/>
              </w:numPr>
              <w:ind w:left="360"/>
              <w:jc w:val="both"/>
              <w:rPr>
                <w:rFonts w:ascii="Calibri" w:cs="Calibri" w:eastAsia="Calibri" w:hAnsi="Calibri"/>
              </w:rPr>
            </w:pPr>
            <w:r w:rsidDel="00000000" w:rsidR="00000000" w:rsidRPr="00000000">
              <w:rPr>
                <w:rtl w:val="0"/>
              </w:rPr>
              <w:t xml:space="preserve">“Princes of the people” - men of the royal family.  God tells Ezekiel to prophesy and warn them that they will not remain protected within the city (caldron), for they “have multiplied [their] slain in this city, and have filled its streets with the slain”; they will have to leave the city and will “fall by the sword”.  While Ezekiel is prophesying this word, Pelatiah (i.e. remnant), son of Benaiah, dies, causing Ezekiel to fall to the ground in anguish and cry out.   </w:t>
            </w:r>
          </w:p>
          <w:p w:rsidR="00000000" w:rsidDel="00000000" w:rsidP="00000000" w:rsidRDefault="00000000" w:rsidRPr="00000000" w14:paraId="0000006E">
            <w:pPr>
              <w:widowControl w:val="0"/>
              <w:jc w:val="both"/>
              <w:rPr/>
            </w:pPr>
            <w:r w:rsidDel="00000000" w:rsidR="00000000" w:rsidRPr="00000000">
              <w:rPr>
                <w:rtl w:val="0"/>
              </w:rPr>
            </w:r>
          </w:p>
          <w:p w:rsidR="00000000" w:rsidDel="00000000" w:rsidP="00000000" w:rsidRDefault="00000000" w:rsidRPr="00000000" w14:paraId="0000006F">
            <w:pPr>
              <w:widowControl w:val="0"/>
              <w:numPr>
                <w:ilvl w:val="0"/>
                <w:numId w:val="5"/>
              </w:numPr>
              <w:ind w:left="360"/>
              <w:jc w:val="both"/>
            </w:pPr>
            <w:r w:rsidDel="00000000" w:rsidR="00000000" w:rsidRPr="00000000">
              <w:rPr>
                <w:rtl w:val="0"/>
              </w:rPr>
              <w:t xml:space="preserve">Responding to Ezekiel’s anguish for the remnant, God promises that He will be “a sanctuary to them for a while in the countries where they have gone”, and “will gather [them] from the peoples, … give [them] the land of Israel”.  More importantly, He will “give them one heart, and put a new spirit within them; I will take the stony heart out of their flesh and give them a heart of flesh”.  </w:t>
            </w:r>
          </w:p>
          <w:p w:rsidR="00000000" w:rsidDel="00000000" w:rsidP="00000000" w:rsidRDefault="00000000" w:rsidRPr="00000000" w14:paraId="00000070">
            <w:pPr>
              <w:widowControl w:val="0"/>
              <w:jc w:val="both"/>
              <w:rPr/>
            </w:pPr>
            <w:r w:rsidDel="00000000" w:rsidR="00000000" w:rsidRPr="00000000">
              <w:rPr>
                <w:rtl w:val="0"/>
              </w:rPr>
            </w:r>
          </w:p>
          <w:p w:rsidR="00000000" w:rsidDel="00000000" w:rsidP="00000000" w:rsidRDefault="00000000" w:rsidRPr="00000000" w14:paraId="00000071">
            <w:pPr>
              <w:widowControl w:val="0"/>
              <w:numPr>
                <w:ilvl w:val="0"/>
                <w:numId w:val="5"/>
              </w:numPr>
              <w:ind w:left="360"/>
              <w:jc w:val="both"/>
              <w:rPr>
                <w:u w:val="none"/>
              </w:rPr>
            </w:pPr>
            <w:r w:rsidDel="00000000" w:rsidR="00000000" w:rsidRPr="00000000">
              <w:rPr>
                <w:rtl w:val="0"/>
              </w:rPr>
              <w:t xml:space="preserve">“The glory of the Lord went up from the midst of the city, and stood upon the mountain (Mt Olives)  which is on the east side of the city” - the presence of God’s glory rests on the fountain of benediction.  God’s departure is the greatest calamity and punishment.  Calamities and punishment must take place before the Romans destroy the Temple.  Throughout the Bible, the glory of God, “Shekinah”, rests on the Holiest of Holies. </w:t>
            </w:r>
          </w:p>
        </w:tc>
        <w:tc>
          <w:tcPr>
            <w:shd w:fill="auto" w:val="clear"/>
          </w:tcPr>
          <w:p w:rsidR="00000000" w:rsidDel="00000000" w:rsidP="00000000" w:rsidRDefault="00000000" w:rsidRPr="00000000" w14:paraId="00000072">
            <w:pPr>
              <w:rPr/>
            </w:pPr>
            <w:r w:rsidDel="00000000" w:rsidR="00000000" w:rsidRPr="00000000">
              <w:rPr>
                <w:rtl w:val="0"/>
              </w:rPr>
              <w:t xml:space="preserve">11:1-25</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11:1-13 CCSS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11:14-21 SN 4</w:t>
            </w:r>
          </w:p>
          <w:p w:rsidR="00000000" w:rsidDel="00000000" w:rsidP="00000000" w:rsidRDefault="00000000" w:rsidRPr="00000000" w14:paraId="0000007E">
            <w:pPr>
              <w:rPr/>
            </w:pPr>
            <w:r w:rsidDel="00000000" w:rsidR="00000000" w:rsidRPr="00000000">
              <w:rPr>
                <w:rtl w:val="0"/>
              </w:rPr>
              <w:t xml:space="preserve">36:26-27, Jer 31:33,</w:t>
            </w:r>
          </w:p>
          <w:p w:rsidR="00000000" w:rsidDel="00000000" w:rsidP="00000000" w:rsidRDefault="00000000" w:rsidRPr="00000000" w14:paraId="0000007F">
            <w:pPr>
              <w:rPr/>
            </w:pPr>
            <w:r w:rsidDel="00000000" w:rsidR="00000000" w:rsidRPr="00000000">
              <w:rPr>
                <w:rtl w:val="0"/>
              </w:rPr>
              <w:t xml:space="preserve">Gen 31:18, 2Cor 3:3</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11:22-25 </w:t>
            </w:r>
          </w:p>
          <w:p w:rsidR="00000000" w:rsidDel="00000000" w:rsidP="00000000" w:rsidRDefault="00000000" w:rsidRPr="00000000" w14:paraId="00000085">
            <w:pPr>
              <w:rPr/>
            </w:pPr>
            <w:r w:rsidDel="00000000" w:rsidR="00000000" w:rsidRPr="00000000">
              <w:rPr>
                <w:rtl w:val="0"/>
              </w:rPr>
              <w:t xml:space="preserve">BSP 5-SN 1 &amp; 2</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tc>
      </w:tr>
    </w:tbl>
    <w:p w:rsidR="00000000" w:rsidDel="00000000" w:rsidP="00000000" w:rsidRDefault="00000000" w:rsidRPr="00000000" w14:paraId="0000008C">
      <w:pPr>
        <w:widowControl w:val="0"/>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8D">
      <w:pPr>
        <w:widowControl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E">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SPECIAL NOTES</w:t>
      </w:r>
    </w:p>
    <w:p w:rsidR="00000000" w:rsidDel="00000000" w:rsidP="00000000" w:rsidRDefault="00000000" w:rsidRPr="00000000" w14:paraId="0000008F">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“Eternal punishment” resulted from “grave sins” and temporal punishment resulted from “venial sins”.</w:t>
      </w:r>
    </w:p>
    <w:p w:rsidR="00000000" w:rsidDel="00000000" w:rsidP="00000000" w:rsidRDefault="00000000" w:rsidRPr="00000000" w14:paraId="0000009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To understand this doctrine and practice of the Church, it is necessary to understand that sin has a double consequence. Grave sin deprives us of communion with God and therefore makes us incapable of eternal life, the privation of which is called the "eternal punishment" of sin. On the other hand every sin, even venial, entails an unhealthy attachment to creatures, which must be purified either here on earth, or after death in the state called Purgatory. This purification frees one from what is called the "temporal punishment" of sin. These two punishments must not be conceived of as a kind of vengeance inflicted by God from without, but as following from the very nature of sin. A conversion which proceeds from a fervent charity can attain the complete purification of the sinner in such a way that no punishment would remain.</w:t>
      </w:r>
    </w:p>
    <w:p w:rsidR="00000000" w:rsidDel="00000000" w:rsidP="00000000" w:rsidRDefault="00000000" w:rsidRPr="00000000" w14:paraId="00000093">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(CCC 1472)</w:t>
      </w:r>
    </w:p>
    <w:p w:rsidR="00000000" w:rsidDel="00000000" w:rsidP="00000000" w:rsidRDefault="00000000" w:rsidRPr="00000000" w14:paraId="0000009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Sin’s double effects: deprivation of grace and loss of transient goods.</w:t>
      </w:r>
    </w:p>
    <w:p w:rsidR="00000000" w:rsidDel="00000000" w:rsidP="00000000" w:rsidRDefault="00000000" w:rsidRPr="00000000" w14:paraId="0000009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7">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Man’s sin comes from the fact that in turning to transient goods he turns away from God. And man is punished for sin on both counts. He is deprived of grace and the other gifts by which union with God is effected, and besides this he deserves to suffer chastisement and loss with respect to the object for whose sake he turned away from God. (St. Thomas Aquinas, </w:t>
      </w:r>
      <w:r w:rsidDel="00000000" w:rsidR="00000000" w:rsidRPr="00000000">
        <w:rPr>
          <w:rFonts w:ascii="Calibri" w:cs="Calibri" w:eastAsia="Calibri" w:hAnsi="Calibri"/>
          <w:i w:val="1"/>
          <w:rtl w:val="0"/>
        </w:rPr>
        <w:t xml:space="preserve">The Compendium of Theology</w:t>
      </w:r>
      <w:r w:rsidDel="00000000" w:rsidR="00000000" w:rsidRPr="00000000">
        <w:rPr>
          <w:rFonts w:ascii="Calibri" w:cs="Calibri" w:eastAsia="Calibri" w:hAnsi="Calibri"/>
          <w:rtl w:val="0"/>
        </w:rPr>
        <w:t xml:space="preserve">, #226)</w:t>
      </w:r>
    </w:p>
    <w:p w:rsidR="00000000" w:rsidDel="00000000" w:rsidP="00000000" w:rsidRDefault="00000000" w:rsidRPr="00000000" w14:paraId="00000098">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Purification of the soul in Purgatory</w:t>
      </w:r>
    </w:p>
    <w:p w:rsidR="00000000" w:rsidDel="00000000" w:rsidP="00000000" w:rsidRDefault="00000000" w:rsidRPr="00000000" w14:paraId="0000009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rPr>
      </w:pPr>
      <w:r w:rsidDel="00000000" w:rsidR="00000000" w:rsidRPr="00000000">
        <w:rPr>
          <w:rFonts w:ascii="Calibri" w:cs="Calibri" w:eastAsia="Calibri" w:hAnsi="Calibri"/>
          <w:rtl w:val="0"/>
        </w:rPr>
        <w:t xml:space="preserve">Such punishments derive their cleansing power from the condition of those who suffer them. For the souls in Purgatory are adorned with charity, by which their wills are conformed to the divine will; it is owing to this charity that the punishments they suffer avail them for cleansing. This is why punishment has no cleansing force in those who lack charity, such as the damned. The defilement of their sin remains forever, and so their punishment endures forever. </w:t>
      </w:r>
    </w:p>
    <w:p w:rsidR="00000000" w:rsidDel="00000000" w:rsidP="00000000" w:rsidRDefault="00000000" w:rsidRPr="00000000" w14:paraId="0000009C">
      <w:pPr>
        <w:jc w:val="both"/>
        <w:rPr>
          <w:rFonts w:ascii="Calibri" w:cs="Calibri" w:eastAsia="Calibri" w:hAnsi="Calibri"/>
        </w:rPr>
      </w:pPr>
      <w:r w:rsidDel="00000000" w:rsidR="00000000" w:rsidRPr="00000000">
        <w:rPr>
          <w:rFonts w:ascii="Calibri" w:cs="Calibri" w:eastAsia="Calibri" w:hAnsi="Calibri"/>
          <w:rtl w:val="0"/>
        </w:rPr>
        <w:t xml:space="preserve">(St. Thomas Aquinas, The Compendium of Theology, #182)</w:t>
      </w:r>
    </w:p>
    <w:p w:rsidR="00000000" w:rsidDel="00000000" w:rsidP="00000000" w:rsidRDefault="00000000" w:rsidRPr="00000000" w14:paraId="0000009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0"/>
          <w:numId w:val="2"/>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Throughout the Bible, the concept of the “remnant of Israel” is a consistent theme.  Even in the midst of severe judgment or loss, the Lord acts to preserve a remnant of his people.  Upon overcoming the challenges, all of Israel will be preserved because of the remnant.  This also implies that humanity will return to God because of the remnant of Israelites, i.e. New Israel. </w:t>
      </w:r>
    </w:p>
    <w:p w:rsidR="00000000" w:rsidDel="00000000" w:rsidP="00000000" w:rsidRDefault="00000000" w:rsidRPr="00000000" w14:paraId="0000009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God sends Joseph to Egypt: “God sent me before you to preserve for you a remnant on earth” (45:7).</w:t>
      </w:r>
    </w:p>
    <w:p w:rsidR="00000000" w:rsidDel="00000000" w:rsidP="00000000" w:rsidRDefault="00000000" w:rsidRPr="00000000" w14:paraId="000000A1">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Prophet Isaiah predicts that only a remnant of the multitude of Israel will survive the coming judgement, “A remnant will return, the remnant of Jacob, to the mighty God.” (Is 10:22).</w:t>
      </w:r>
    </w:p>
    <w:p w:rsidR="00000000" w:rsidDel="00000000" w:rsidP="00000000" w:rsidRDefault="00000000" w:rsidRPr="00000000" w14:paraId="000000A2">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Jeremiah predicts the return of the remnant of Israel and the promise of  the coming of the Messianic kingdom: “Then I myself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Lord.  The days are surely coming, says the Lord, when I will raise up for David a righteous Branch, and he shall reign as king and deal wisely, and shall execute justice and righteousness in the land”. (Jer 23:3-5)</w:t>
      </w:r>
    </w:p>
    <w:p w:rsidR="00000000" w:rsidDel="00000000" w:rsidP="00000000" w:rsidRDefault="00000000" w:rsidRPr="00000000" w14:paraId="000000A3">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St. Paul predicts that a “remnant” will remain by the “grace of God” (Rm 11:5), so that “all Israel will be saved”: “So that you may not claim to be wiser than you are, brothers and sisters, I want you to understand this mystery: a hardening has come upon part of Israel, until the full number of the Gentiles has come in. And so all Israel will be saved” (Rm 11:25-26).</w:t>
      </w:r>
    </w:p>
    <w:p w:rsidR="00000000" w:rsidDel="00000000" w:rsidP="00000000" w:rsidRDefault="00000000" w:rsidRPr="00000000" w14:paraId="000000A4">
      <w:pPr>
        <w:ind w:left="720" w:firstLine="0"/>
        <w:jc w:val="both"/>
        <w:rPr/>
      </w:pPr>
      <w:r w:rsidDel="00000000" w:rsidR="00000000" w:rsidRPr="00000000">
        <w:rPr>
          <w:rFonts w:ascii="Calibri" w:cs="Calibri" w:eastAsia="Calibri" w:hAnsi="Calibri"/>
          <w:rtl w:val="0"/>
        </w:rPr>
        <w:t xml:space="preserve">Sources: CCSS p.92 sidebar; Petre, Barber, Kincaid, Paul. </w:t>
      </w:r>
      <w:r w:rsidDel="00000000" w:rsidR="00000000" w:rsidRPr="00000000">
        <w:rPr>
          <w:rFonts w:ascii="Calibri" w:cs="Calibri" w:eastAsia="Calibri" w:hAnsi="Calibri"/>
          <w:i w:val="1"/>
          <w:rtl w:val="0"/>
        </w:rPr>
        <w:t xml:space="preserve">A New Covenant Jew</w:t>
      </w:r>
      <w:r w:rsidDel="00000000" w:rsidR="00000000" w:rsidRPr="00000000">
        <w:rPr>
          <w:rFonts w:ascii="Calibri" w:cs="Calibri" w:eastAsia="Calibri" w:hAnsi="Calibri"/>
          <w:rtl w:val="0"/>
        </w:rPr>
        <w:t xml:space="preserve">, p. 59.</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tl w:val="0"/>
        </w:rPr>
      </w:r>
    </w:p>
    <w:sectPr>
      <w:headerReference r:id="rId6" w:type="default"/>
      <w:footerReference r:id="rId7" w:type="default"/>
      <w:footerReference r:id="rId8" w:type="even"/>
      <w:pgSz w:h="15840" w:w="12240" w:orient="portrait"/>
      <w:pgMar w:bottom="1440" w:top="1440" w:left="1797" w:right="17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ungsuh"/>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Chinese Martyrs Catholic Church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3446145</wp:posOffset>
              </wp:positionH>
              <wp:positionV relativeFrom="paragraph">
                <wp:posOffset>-268604</wp:posOffset>
              </wp:positionV>
              <wp:extent cx="2619375" cy="771525"/>
              <wp:effectExtent b="0" l="0" r="0" t="0"/>
              <wp:wrapNone/>
              <wp:docPr id="1" name=""/>
              <a:graphic>
                <a:graphicData uri="http://schemas.microsoft.com/office/word/2010/wordprocessingShape">
                  <wps:wsp>
                    <wps:cNvSpPr/>
                    <wps:cNvPr id="2" name="Shape 2"/>
                    <wps:spPr>
                      <a:xfrm>
                        <a:off x="3974400" y="3265650"/>
                        <a:ext cx="2743200" cy="73260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CCSS = Cath Commentary on Sacred Scriptures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SK = See Ko Chinese Bible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NAB = New American Bible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SN = Special Notes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3446145</wp:posOffset>
              </wp:positionH>
              <wp:positionV relativeFrom="paragraph">
                <wp:posOffset>-268604</wp:posOffset>
              </wp:positionV>
              <wp:extent cx="2619375" cy="7715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619375" cy="771525"/>
                      </a:xfrm>
                      <a:prstGeom prst="rect"/>
                      <a:ln/>
                    </pic:spPr>
                  </pic:pic>
                </a:graphicData>
              </a:graphic>
            </wp:anchor>
          </w:drawing>
        </mc:Fallback>
      </mc:AlternateConten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Bible Sharing Program 202</w:t>
    </w:r>
    <w:r w:rsidDel="00000000" w:rsidR="00000000" w:rsidRPr="00000000">
      <w:rPr>
        <w:rFonts w:ascii="Arial" w:cs="Arial" w:eastAsia="Arial" w:hAnsi="Arial"/>
        <w:b w:val="1"/>
        <w:sz w:val="20"/>
        <w:szCs w:val="20"/>
        <w:rtl w:val="0"/>
      </w:rPr>
      <w:t xml:space="preserve">5-2027</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Session #</w:t>
    </w:r>
    <w:r w:rsidDel="00000000" w:rsidR="00000000" w:rsidRPr="00000000">
      <w:rPr>
        <w:rFonts w:ascii="Arial" w:cs="Arial" w:eastAsia="Arial" w:hAnsi="Arial"/>
        <w:b w:val="1"/>
        <w:sz w:val="20"/>
        <w:szCs w:val="20"/>
        <w:rtl w:val="0"/>
      </w:rPr>
      <w:t xml:space="preserve">6: Judgement on the Temple and the Departure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 the Lord’s Glorious Presence (8:1 - 11:25)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432" w:hanging="360"/>
      </w:pPr>
      <w:rPr>
        <w:rFonts w:ascii="Noto Sans Symbols" w:cs="Noto Sans Symbols" w:eastAsia="Noto Sans Symbols" w:hAnsi="Noto Sans Symbols"/>
      </w:rPr>
    </w:lvl>
    <w:lvl w:ilvl="1">
      <w:start w:val="1"/>
      <w:numFmt w:val="bullet"/>
      <w:lvlText w:val="o"/>
      <w:lvlJc w:val="left"/>
      <w:pPr>
        <w:ind w:left="1152" w:hanging="360"/>
      </w:pPr>
      <w:rPr>
        <w:rFonts w:ascii="Courier New" w:cs="Courier New" w:eastAsia="Courier New" w:hAnsi="Courier New"/>
      </w:rPr>
    </w:lvl>
    <w:lvl w:ilvl="2">
      <w:start w:val="1"/>
      <w:numFmt w:val="bullet"/>
      <w:lvlText w:val="▪"/>
      <w:lvlJc w:val="left"/>
      <w:pPr>
        <w:ind w:left="1872" w:hanging="360"/>
      </w:pPr>
      <w:rPr>
        <w:rFonts w:ascii="Noto Sans Symbols" w:cs="Noto Sans Symbols" w:eastAsia="Noto Sans Symbols" w:hAnsi="Noto Sans Symbols"/>
      </w:rPr>
    </w:lvl>
    <w:lvl w:ilvl="3">
      <w:start w:val="1"/>
      <w:numFmt w:val="bullet"/>
      <w:lvlText w:val="●"/>
      <w:lvlJc w:val="left"/>
      <w:pPr>
        <w:ind w:left="2592" w:hanging="360"/>
      </w:pPr>
      <w:rPr>
        <w:rFonts w:ascii="Noto Sans Symbols" w:cs="Noto Sans Symbols" w:eastAsia="Noto Sans Symbols" w:hAnsi="Noto Sans Symbols"/>
      </w:rPr>
    </w:lvl>
    <w:lvl w:ilvl="4">
      <w:start w:val="1"/>
      <w:numFmt w:val="bullet"/>
      <w:lvlText w:val="o"/>
      <w:lvlJc w:val="left"/>
      <w:pPr>
        <w:ind w:left="3312" w:hanging="360"/>
      </w:pPr>
      <w:rPr>
        <w:rFonts w:ascii="Courier New" w:cs="Courier New" w:eastAsia="Courier New" w:hAnsi="Courier New"/>
      </w:rPr>
    </w:lvl>
    <w:lvl w:ilvl="5">
      <w:start w:val="1"/>
      <w:numFmt w:val="bullet"/>
      <w:lvlText w:val="▪"/>
      <w:lvlJc w:val="left"/>
      <w:pPr>
        <w:ind w:left="4032" w:hanging="360"/>
      </w:pPr>
      <w:rPr>
        <w:rFonts w:ascii="Noto Sans Symbols" w:cs="Noto Sans Symbols" w:eastAsia="Noto Sans Symbols" w:hAnsi="Noto Sans Symbols"/>
      </w:rPr>
    </w:lvl>
    <w:lvl w:ilvl="6">
      <w:start w:val="1"/>
      <w:numFmt w:val="bullet"/>
      <w:lvlText w:val="●"/>
      <w:lvlJc w:val="left"/>
      <w:pPr>
        <w:ind w:left="4752" w:hanging="360"/>
      </w:pPr>
      <w:rPr>
        <w:rFonts w:ascii="Noto Sans Symbols" w:cs="Noto Sans Symbols" w:eastAsia="Noto Sans Symbols" w:hAnsi="Noto Sans Symbols"/>
      </w:rPr>
    </w:lvl>
    <w:lvl w:ilvl="7">
      <w:start w:val="1"/>
      <w:numFmt w:val="bullet"/>
      <w:lvlText w:val="o"/>
      <w:lvlJc w:val="left"/>
      <w:pPr>
        <w:ind w:left="5472" w:hanging="360"/>
      </w:pPr>
      <w:rPr>
        <w:rFonts w:ascii="Courier New" w:cs="Courier New" w:eastAsia="Courier New" w:hAnsi="Courier New"/>
      </w:rPr>
    </w:lvl>
    <w:lvl w:ilvl="8">
      <w:start w:val="1"/>
      <w:numFmt w:val="bullet"/>
      <w:lvlText w:val="▪"/>
      <w:lvlJc w:val="left"/>
      <w:pPr>
        <w:ind w:left="6192"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color w:val="000000"/>
    </w:rPr>
    <w:tblPr>
      <w:tblStyleRowBandSize w:val="1"/>
      <w:tblStyleColBandSize w:val="1"/>
      <w:tblCellMar>
        <w:top w:w="100.0" w:type="dxa"/>
        <w:left w:w="100.0" w:type="dxa"/>
        <w:bottom w:w="100.0" w:type="dxa"/>
        <w:right w:w="100.0" w:type="dxa"/>
      </w:tblCellMar>
    </w:tblPr>
    <w:tcPr>
      <w:shd w:fill="fde5d1"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